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76A0793C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D50</w:t>
      </w:r>
      <w:r w:rsidR="0044141F">
        <w:rPr>
          <w:rFonts w:ascii="Arial" w:hAnsi="Arial" w:cs="Arial"/>
          <w:b/>
          <w:sz w:val="32"/>
          <w:szCs w:val="32"/>
        </w:rPr>
        <w:t>E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1D4D9041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D50</w:t>
      </w:r>
      <w:r w:rsidR="0044141F">
        <w:rPr>
          <w:rFonts w:ascii="Arial" w:hAnsi="Arial" w:cs="Arial"/>
          <w:sz w:val="18"/>
          <w:szCs w:val="18"/>
        </w:rPr>
        <w:t>E</w:t>
      </w:r>
      <w:r w:rsidRPr="00F12393">
        <w:rPr>
          <w:rFonts w:ascii="Arial" w:hAnsi="Arial" w:cs="Arial"/>
          <w:sz w:val="18"/>
          <w:szCs w:val="18"/>
        </w:rPr>
        <w:t>25</w:t>
      </w:r>
      <w:r w:rsidR="0044141F">
        <w:rPr>
          <w:rFonts w:ascii="Arial" w:hAnsi="Arial" w:cs="Arial"/>
          <w:sz w:val="18"/>
          <w:szCs w:val="18"/>
        </w:rPr>
        <w:t>70</w:t>
      </w:r>
      <w:r w:rsidRPr="00F12393">
        <w:rPr>
          <w:rFonts w:ascii="Arial" w:hAnsi="Arial" w:cs="Arial"/>
          <w:sz w:val="18"/>
          <w:szCs w:val="18"/>
        </w:rPr>
        <w:t>A capable of covering a 37– 72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have color-coded, interchangeable nozzles. The retract spring shall be of stainless steel and of </w:t>
      </w:r>
      <w:proofErr w:type="gramStart"/>
      <w:r w:rsidRPr="00F12393">
        <w:rPr>
          <w:rFonts w:ascii="Arial" w:hAnsi="Arial" w:cs="Arial"/>
          <w:sz w:val="18"/>
          <w:szCs w:val="18"/>
        </w:rPr>
        <w:t>sufficient</w:t>
      </w:r>
      <w:proofErr w:type="gramEnd"/>
      <w:r w:rsidRPr="00F12393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F12393">
        <w:rPr>
          <w:rFonts w:ascii="Arial" w:hAnsi="Arial" w:cs="Arial"/>
          <w:sz w:val="18"/>
          <w:szCs w:val="18"/>
        </w:rPr>
        <w:t>Quicklock</w:t>
      </w:r>
      <w:proofErr w:type="spellEnd"/>
      <w:r w:rsidRPr="00F12393">
        <w:rPr>
          <w:rFonts w:ascii="Arial" w:hAnsi="Arial" w:cs="Arial"/>
          <w:sz w:val="18"/>
          <w:szCs w:val="18"/>
        </w:rPr>
        <w:t xml:space="preserve"> design.</w:t>
      </w:r>
    </w:p>
    <w:p w14:paraId="73A55DA4" w14:textId="77777777" w:rsidR="0044141F" w:rsidRPr="0044141F" w:rsidRDefault="0044141F" w:rsidP="0044141F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4141F">
        <w:rPr>
          <w:rFonts w:ascii="Arial" w:hAnsi="Arial" w:cs="Arial"/>
          <w:sz w:val="18"/>
          <w:szCs w:val="18"/>
        </w:rPr>
        <w:t xml:space="preserve">The rotor shall be used with a pressure-regulating, in-line electrically actuated valve, or integrated electrically actuated valve. </w:t>
      </w:r>
    </w:p>
    <w:p w14:paraId="2A065464" w14:textId="1221C5E9" w:rsidR="0044141F" w:rsidRPr="0044141F" w:rsidRDefault="0044141F" w:rsidP="0044141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4141F">
        <w:rPr>
          <w:rFonts w:ascii="Arial" w:hAnsi="Arial" w:cs="Arial"/>
          <w:sz w:val="18"/>
          <w:szCs w:val="18"/>
        </w:rPr>
        <w:t xml:space="preserve">otor case shall be of commercial-grade plastic and shall have a top diameter of 6.5”, a pop-up height of 4” and an overall body height of 9.75”. </w:t>
      </w:r>
    </w:p>
    <w:p w14:paraId="59940E9A" w14:textId="4CAB2A70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bookmarkStart w:id="0" w:name="_GoBack"/>
      <w:bookmarkEnd w:id="0"/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9993" w14:textId="77777777" w:rsidR="00151E7A" w:rsidRDefault="00151E7A" w:rsidP="00445BF8">
      <w:pPr>
        <w:spacing w:after="0" w:line="240" w:lineRule="auto"/>
      </w:pPr>
      <w:r>
        <w:separator/>
      </w:r>
    </w:p>
  </w:endnote>
  <w:endnote w:type="continuationSeparator" w:id="0">
    <w:p w14:paraId="100A8204" w14:textId="77777777" w:rsidR="00151E7A" w:rsidRDefault="00151E7A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ACEE" w14:textId="77777777" w:rsidR="00151E7A" w:rsidRDefault="00151E7A" w:rsidP="00445BF8">
      <w:pPr>
        <w:spacing w:after="0" w:line="240" w:lineRule="auto"/>
      </w:pPr>
      <w:r>
        <w:separator/>
      </w:r>
    </w:p>
  </w:footnote>
  <w:footnote w:type="continuationSeparator" w:id="0">
    <w:p w14:paraId="3D500090" w14:textId="77777777" w:rsidR="00151E7A" w:rsidRDefault="00151E7A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1E7A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36B85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2019-07-12T19:35:00Z</dcterms:created>
  <dcterms:modified xsi:type="dcterms:W3CDTF">2019-07-12T19:35:00Z</dcterms:modified>
</cp:coreProperties>
</file>